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21</w:t>
      </w:r>
    </w:p>
    <w:p>
      <w:r>
        <w:t>Bundesgericht (BGE), 1982-07-28, DE</w:t>
      </w:r>
    </w:p>
    <w:p>
      <w:r>
        <w:rPr>
          <w:b/>
        </w:rPr>
        <w:t xml:space="preserve">Quelle: </w:t>
      </w:r>
      <w:r>
        <w:t>https://mcp.opencaselaw.ch/entscheid/bge_108 III 21</w:t>
      </w:r>
    </w:p>
    <w:p>
      <w:r>
        <w:t>FR: ATF 108 III 21</w:t>
      </w:r>
    </w:p>
    <w:p>
      <w:r>
        <w:t>IT: DTF 108 III 21</w:t>
      </w:r>
    </w:p>
    <w:p>
      <w:pPr>
        <w:pStyle w:val="Heading2"/>
      </w:pPr>
      <w:r>
        <w:t>Regeste</w:t>
      </w:r>
    </w:p>
    <w:p>
      <w:r>
        <w:t>Regeste Art. 243 Abs. 1 SchKG. Einziehung von unbestrittenen fälligen Guthaben der Masse auf dem Betreibungsweg; Begriff des unbestrittenen Guthabens.</w:t>
      </w:r>
    </w:p>
    <w:p>
      <w:pPr>
        <w:pStyle w:val="Heading2"/>
      </w:pPr>
      <w:r>
        <w:t>Erwägungen</w:t>
      </w:r>
    </w:p>
    <w:p>
      <w:r>
        <w:rPr>
          <w:b/>
        </w:rPr>
        <w:t>E. 1</w:t>
      </w:r>
    </w:p>
    <w:p>
      <w:r>
        <w:t>Nach Art. 243 Abs. 1 SchKG hat die Konkursverwaltung unbestrittene und fällige Guthaben der Masse, nötigenfalls auf dem Betreibungsweg, einzuziehen. Nach Lehre und Rechtsprechung hat die Konkursverwaltung gegen alle Drittschuldner, die auf eine vorausgegangene briefliche Aufforderung weder bezahlt noch eine ausdrückliche Bestreitung eingereicht haben, die Betreibung anzuheben. Ist eine Bestreitung offenbar trölerisch und der Rechtsvorschlag des Schuldners durch (provisorische oder definitive) Rechtsöffnung zu beseitigen, so ist für solche Forderungen trotz der Bestreitung die Betreibung fortzusetzen. Liegt dagegen eine ernsthafte Bestreitung vor, so ist es Sache der 2. Gläubigerversammlung, darüber zu entscheiden, ob der Prozessweg beschritten oder ob das Guthaben im Sinne von Art. 260 SchKG den Gläubigern zur Abtretung angeboten werden soll ( BGE 93 III 26 E. 2; JAEGER, N. 1 und 3 zu Art. 243 SchKG ; FRITZSCHE, Schuldbetreibung und Konkurs, 2. Aufl. Bd. II, S. 141).</w:t>
      </w:r>
    </w:p>
    <w:p>
      <w:r>
        <w:rPr>
          <w:b/>
        </w:rPr>
        <w:t>E. 2</w:t>
      </w:r>
    </w:p>
    <w:p>
      <w:r>
        <w:t>Im vorliegenden Fall hat die Bad Flüh AG zwar am 3. Februar 1981 die Forderung der Konkursmasse im hängigen Zivilprozess anerkannt. Diese Anerkennung wurde indessen kurz danach vom heutigen Präsidenten des Verwaltungsrats der Bad Flüh AG bestritten. Sie führte zudem bisher nicht etwa zu einer Abschreibung der Klage. Unter diesen Umständen fehlt es bereits am Erfordernis des unbestrittenen Guthabens im Sinne von Art. 243 Abs. 1 SchKG . Welche materiell- und prozessrechtliche Tragweite die von der Ehefrau des Rekurrenten als damaliger Verwaltungsratspräsidentin der Bad Flüh AG ausgesprochene BGE 108 III 21 S. 23 Anerkennung hat, ist hier nicht zu prüfen. Unter dem Gesichtspunkt von Art. 243 Abs. 1 SchKG genügt es, dass die Bad Flüh AG die Anerkennung heute nicht mehr gegen sich gelten lassen will, und dass der Prozess über die Forderung weiterhin anhängig ist. Wohl könnte die Konkursverwaltung versuchen, gestützt auf die Forderungsanerkennung die provisorische Rechtsöffnung zu erlangen. Würde diese gewährt, was angesichts der unklaren Rechtslage ungewiss ist, so wäre jedoch mit Sicherheit mit einer Aberkennungsklage durch die Bad Flüh AG zu rechnen, was wiederum darauf hinweist, dass von einem unbestrittenen Guthaben nicht gesprochen werden kann. Dazu kommt, dass die Bad Flüh AG gegenüber der Konkursmasse offenbar Gegenforderungen angemeldet hat, so dass die Geltendmachung der Forderung auch unter diesem Gesichtspunkt auf Schwierigkeiten stossen könnte. Bei dieser Sachlage verstösst es keineswegs gegen Art. 243 Abs. 1 SchKG , wenn die Konkursverwaltung den Entscheid über das weitere Vorgehen hinsichtlich der Forderung gegen die Bad Flüh AG der 2. Gläubigerversammlung überlassen will. Der Rekurs ist daher als offensichtlich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